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0FB02F93" w:rsidR="00714FA5" w:rsidRDefault="00F67D73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ИСР 1.6</w:t>
      </w:r>
    </w:p>
    <w:p w14:paraId="6835B3FF" w14:textId="61BE696B" w:rsidR="00524CD0" w:rsidRPr="00F67D73" w:rsidRDefault="00524CD0">
      <w:pPr>
        <w:spacing w:line="360" w:lineRule="auto"/>
        <w:jc w:val="center"/>
        <w:rPr>
          <w:rFonts w:ascii="Times New Roman" w:hAnsi="Times New Roman" w:cs="Times New Roman" w:hint="eastAsia"/>
          <w:b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Выполнил: Салаватов М.В.</w:t>
      </w:r>
    </w:p>
    <w:p w14:paraId="00000002" w14:textId="77777777" w:rsidR="00714FA5" w:rsidRDefault="00000000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Анализ занятий, проводимых преподавателем</w:t>
      </w:r>
    </w:p>
    <w:p w14:paraId="518576F2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</w:p>
    <w:p w14:paraId="08310400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Введение</w:t>
      </w:r>
    </w:p>
    <w:p w14:paraId="5B731E8F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В данном отчете представлен анализ видеозаписей лекций из открытых образовательных ресурсов НИУ ВШЭ. Объектами изучения стали две лекции: вводная по курсу «Машинное обучение 1» и лекция по курсу «Глубинное обучение для текстовых данных». Эти материалы служат примерами классических университетских видеолекций, направленных на создание теоретического фундамента в сфере ИИ и анализа данных.</w:t>
      </w:r>
    </w:p>
    <w:p w14:paraId="6A683461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Анализ выполнен через призму педагогики и методик e-</w:t>
      </w:r>
      <w:proofErr w:type="spellStart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learning</w:t>
      </w:r>
      <w:proofErr w:type="spellEnd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. Основные задачи: оценить цели, содержание, структуру и методы преподавания, выявить сильные стороны и зоны роста, а также проанализировать использование технологий электронного обучения.</w:t>
      </w:r>
    </w:p>
    <w:p w14:paraId="3AAE64AD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</w:p>
    <w:p w14:paraId="4F5908DA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Анализ лекции курса «Машинное обучение 1»</w:t>
      </w:r>
    </w:p>
    <w:p w14:paraId="25B58264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Это вводное занятие, цель которого — дать студентам базовое представление о машинном обучении (МО). Лекция фокусируется на ключевых терминах, задачах МО и общих подходах к моделированию. Основной упор сделан на теоретическое обоснование и математическую формализацию, что соответствует требованиям фундаментальной подготовки.</w:t>
      </w:r>
    </w:p>
    <w:p w14:paraId="3F57FF15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Структура материала строго линейна и логична: от общей постановки проблемы к частным понятиям. Такой подход помогает выстроить четкую понятийную базу, но создает высокую когнитивную нагрузку, особенно для неподготовленных слушателей. Формат соответствует традиционной академической модели, где преподаватель является единственным источником знания, а студенты пассивно воспринимают информацию.</w:t>
      </w:r>
    </w:p>
    <w:p w14:paraId="2DE1B0C8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 xml:space="preserve">Методически доминирует объяснительно-иллюстративный подход. Преподаватель дает определения, подкрепляя их математическими выводами и примерами. Из-за высокой доли абстракций материал требует серьезной концентрации и хорошей </w:t>
      </w: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lastRenderedPageBreak/>
        <w:t>математической базы. Визуализация используется минимально, что затрудняет восприятие сложных идей через мультимедиа.</w:t>
      </w:r>
    </w:p>
    <w:p w14:paraId="4647AE90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С точки зрения e-</w:t>
      </w:r>
      <w:proofErr w:type="spellStart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learning</w:t>
      </w:r>
      <w:proofErr w:type="spellEnd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, это пассивный формат. Отсутствуют элементы обратной связи, самопроверки, интерактива или адаптивности. Это снижает возможности персонализации и ухудшает усвоение материала разными категориями студентов.</w:t>
      </w:r>
    </w:p>
    <w:p w14:paraId="4700B636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Плюсы: высокая академичность, строгая логика, корректное введение понятий без разрывов.</w:t>
      </w:r>
    </w:p>
    <w:p w14:paraId="015AFEAD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Минусы: слабое использование мультимедиа, нет механизмов вовлечения и адаптации под уровень студента.</w:t>
      </w:r>
    </w:p>
    <w:p w14:paraId="1AE8EA26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</w:p>
    <w:p w14:paraId="746B693A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Анализ лекции курса «Глубинное обучение для текстовых данных»</w:t>
      </w:r>
    </w:p>
    <w:p w14:paraId="57B0CEF7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Лекция посвящена применению глубокого обучения (Deep Learning) в обработке естественного языка (NLP). В отличие от первой, здесь ярко выражена прикладная направленность. Рассматриваются способы векторизации текста, архитектура нейросетей и примеры их использования в реальных задачах.</w:t>
      </w:r>
    </w:p>
    <w:p w14:paraId="3500C9C0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Структура последовательна, но более гибка: теоретические блоки чередуются с практическими кейсами. Это помогает студентам связывать абстрактные теории с конкретными задачами обработки данных, улучшая понимание.</w:t>
      </w:r>
    </w:p>
    <w:p w14:paraId="7A48936D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Методика также основана на объяснении с иллюстрациями, но с большим акцентом на практику. Использование концептуальных схем и визуализаций делает сложные модели глубинного обучения более доступными и снижает уровень абстракции.</w:t>
      </w:r>
    </w:p>
    <w:p w14:paraId="4D4CC424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Как и первая, эта лекция относится к пассивному формату e-</w:t>
      </w:r>
      <w:proofErr w:type="spellStart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learning</w:t>
      </w:r>
      <w:proofErr w:type="spellEnd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 xml:space="preserve"> (нет реального времени взаимодействия). Однако наличие ярких примеров и визуальной поддержки частично компенсирует недостаток интерактива, повышая вовлеченность аудитории.</w:t>
      </w:r>
    </w:p>
    <w:p w14:paraId="150D898C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Плюсы: актуальность, связь теории с практикой, хорошая визуализация.</w:t>
      </w:r>
    </w:p>
    <w:p w14:paraId="43628BFD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Минусы: высокая информационная плотность, отсутствие встроенных инструментов для самоконтроля знаний.</w:t>
      </w:r>
    </w:p>
    <w:p w14:paraId="36A1315E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</w:p>
    <w:p w14:paraId="60EFAF6C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Сравнительный анализ</w:t>
      </w:r>
    </w:p>
    <w:p w14:paraId="6629BEFD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lastRenderedPageBreak/>
        <w:t>Обе лекции демонстрируют разные педагогические акценты. Первая («Машинное обучение 1») носит фундаментальный характер, формируя математическое мышление и базовые понятия. Вторая («Глубинное обучение...») более прикладная, показывающая работу методов в конкретной области (тексты).</w:t>
      </w:r>
    </w:p>
    <w:p w14:paraId="6A90DA4E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Структурно обе линейны, но первая более жесткая и последовательная, вторая — более гибкая за счет интеграции практики. Методически обе используют объяснительно-иллюстративный подход, но во второй лекции эффективнее применяются визуализация и примеры, что делает материал понятнее.</w:t>
      </w:r>
    </w:p>
    <w:p w14:paraId="5213DFD7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В контексте e-</w:t>
      </w:r>
      <w:proofErr w:type="spellStart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learning</w:t>
      </w:r>
      <w:proofErr w:type="spellEnd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 xml:space="preserve"> обе лекции реализуют пассивную модель потребления контента. Студент остается наблюдателем. Отсутствие интерактивных заданий и обратной связи ограничивает дидактический потенциал материалов в условиях современных требований к онлайн-обучению.</w:t>
      </w:r>
    </w:p>
    <w:p w14:paraId="5F7F1E75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</w:p>
    <w:p w14:paraId="2AC0692A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Вывод и рекомендации по внедрению технологий электронного обучения</w:t>
      </w:r>
    </w:p>
    <w:p w14:paraId="328F30FF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 xml:space="preserve">Проанализированные лекции являются качественными образцами традиционного академического преподавания сложных технических дисциплин. Однако их эффективность можно значительно повысить за счет интеграции современных </w:t>
      </w:r>
      <w:proofErr w:type="spellStart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ed-tech</w:t>
      </w:r>
      <w:proofErr w:type="spellEnd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 xml:space="preserve"> решений.</w:t>
      </w:r>
    </w:p>
    <w:p w14:paraId="3A577E14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</w:p>
    <w:p w14:paraId="498C9E21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Рекомендации:</w:t>
      </w:r>
    </w:p>
    <w:p w14:paraId="329B422A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 xml:space="preserve">1. Интеграция с LMS (например, </w:t>
      </w:r>
      <w:proofErr w:type="spellStart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Moodle</w:t>
      </w:r>
      <w:proofErr w:type="spellEnd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). Разбиение видео на смысловые блоки с добавлением после каждого блока проверочных тестов или мини-кейсов. Это обеспечит поэтапный контроль и снизит когнитивную перегрузку.</w:t>
      </w:r>
    </w:p>
    <w:p w14:paraId="09460780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2. Использование интерактивных модулей (SCORM/H5P). Замена статичных слайдов на интерактивные схемы архитектур нейросетей или процессов обработки текста. Это переведет абстрактный материал в формат активного взаимодействия.</w:t>
      </w:r>
    </w:p>
    <w:p w14:paraId="5E9A5C7D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3. Практико-ориентированные задания. Внедрение лабораторных работ в облачных средах (</w:t>
      </w:r>
      <w:proofErr w:type="spellStart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Jupyter</w:t>
      </w:r>
      <w:proofErr w:type="spellEnd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 xml:space="preserve"> </w:t>
      </w:r>
      <w:proofErr w:type="spellStart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Notebook</w:t>
      </w:r>
      <w:proofErr w:type="spellEnd"/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), позволяющих студентам сразу применять теорию на практике, запуская простые эксперименты с моделями.</w:t>
      </w:r>
    </w:p>
    <w:p w14:paraId="62DB20F1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 xml:space="preserve">4. Адаптивное обучение. Внедрение алгоритмов, которые подбирают сложность дополнительных заданий исходя из результатов тестирования студента. Это </w:t>
      </w: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lastRenderedPageBreak/>
        <w:t>критически важно для технических дисциплин с разным уровнем входной подготовки аудитории.</w:t>
      </w:r>
    </w:p>
    <w:p w14:paraId="0B8BAF38" w14:textId="77777777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</w:p>
    <w:p w14:paraId="3DFC74EB" w14:textId="08CDBFE1" w:rsidR="002E6C0B" w:rsidRPr="002E6C0B" w:rsidRDefault="002E6C0B" w:rsidP="002E6C0B">
      <w:pPr>
        <w:spacing w:line="360" w:lineRule="auto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2E6C0B">
        <w:rPr>
          <w:rFonts w:ascii="Times New Roman" w:eastAsia="Times New Roman" w:hAnsi="Times New Roman" w:cs="Times New Roman"/>
          <w:sz w:val="26"/>
          <w:szCs w:val="26"/>
          <w:lang w:val="ru-RU"/>
        </w:rPr>
        <w:t>Реализация этих мер позволит трансформировать пассивное потребление лекций в активный, практико-ориентированный и адаптивный учебный процесс, что существенно улучшит качество подготовки специалистов в области машинного и глубинного обучения.</w:t>
      </w:r>
    </w:p>
    <w:sectPr w:rsidR="002E6C0B" w:rsidRPr="002E6C0B">
      <w:pgSz w:w="11909" w:h="16834"/>
      <w:pgMar w:top="1133" w:right="850" w:bottom="1133" w:left="170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ABA75A7-B205-47A6-99B6-A1CDF8CF8E7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A01F6206-1CE1-4D90-995C-5DBBF907CE1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4FA5"/>
    <w:rsid w:val="002E6C0B"/>
    <w:rsid w:val="00524CD0"/>
    <w:rsid w:val="00616F1F"/>
    <w:rsid w:val="00714FA5"/>
    <w:rsid w:val="00F67D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2E35E5"/>
  <w15:docId w15:val="{31002941-33FF-42EA-BDD0-A4D174F483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ru" w:eastAsia="zh-CN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854</Words>
  <Characters>4874</Characters>
  <Application>Microsoft Office Word</Application>
  <DocSecurity>0</DocSecurity>
  <Lines>40</Lines>
  <Paragraphs>11</Paragraphs>
  <ScaleCrop>false</ScaleCrop>
  <Company/>
  <LinksUpToDate>false</LinksUpToDate>
  <CharactersWithSpaces>5717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4</cp:revision>
  <dcterms:created xsi:type="dcterms:W3CDTF">2026-06-16T15:12:00Z</dcterms:created>
  <dcterms:modified xsi:type="dcterms:W3CDTF">2026-06-16T15:14:00Z</dcterms:modified>
</cp:coreProperties>
</file>